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5: Neighbourhoods of Vancouver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</w:rPr>
      </w:pPr>
      <w:bookmarkStart w:colFirst="0" w:colLast="0" w:name="_f5qlzyz2mqod" w:id="0"/>
      <w:bookmarkEnd w:id="0"/>
      <w:r w:rsidDel="00000000" w:rsidR="00000000" w:rsidRPr="00000000">
        <w:rPr>
          <w:color w:val="3a3a3a"/>
          <w:sz w:val="24"/>
          <w:szCs w:val="24"/>
          <w:rtl w:val="0"/>
        </w:rPr>
        <w:t xml:space="preserve">Let’s review what we have learned in this lesson. You may take the quiz 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6r1a487t1toc" w:id="1"/>
      <w:bookmarkEnd w:id="1"/>
      <w:r w:rsidDel="00000000" w:rsidR="00000000" w:rsidRPr="00000000">
        <w:rPr>
          <w:color w:val="3a3a3a"/>
          <w:sz w:val="24"/>
          <w:szCs w:val="24"/>
          <w:rtl w:val="0"/>
        </w:rPr>
        <w:t xml:space="preserve">After you click 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‘Finish Quiz’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, you can view the questions by clicking 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‘view questions’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160" w:lineRule="auto"/>
        <w:ind w:left="0" w:firstLine="0"/>
        <w:rPr>
          <w:color w:val="3a3a3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2"/>
      <w:bookmarkEnd w:id="2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Which area are you most excited to visit in the future?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